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附2：会议议程（以最终执行议程为准）</w:t>
      </w:r>
    </w:p>
    <w:p>
      <w:pPr>
        <w:spacing w:line="360" w:lineRule="auto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</w:rPr>
        <w:t>活动时间：</w:t>
      </w:r>
      <w:r>
        <w:rPr>
          <w:rFonts w:hint="eastAsia" w:ascii="仿宋" w:hAnsi="仿宋" w:eastAsia="仿宋"/>
          <w:szCs w:val="21"/>
        </w:rPr>
        <w:t>2018年4月10日下午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活动地点：</w:t>
      </w:r>
      <w:r>
        <w:rPr>
          <w:rFonts w:hint="eastAsia" w:ascii="仿宋" w:hAnsi="仿宋" w:eastAsia="仿宋"/>
          <w:szCs w:val="21"/>
        </w:rPr>
        <w:t>深圳会展中心（深圳市福田中心区福华三路深圳会展中心）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4314825" cy="2593340"/>
            <wp:effectExtent l="0" t="0" r="952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3435" cy="259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</w:p>
    <w:tbl>
      <w:tblPr>
        <w:tblStyle w:val="6"/>
        <w:tblpPr w:leftFromText="180" w:rightFromText="180" w:vertAnchor="text" w:horzAnchor="page" w:tblpX="2561" w:tblpY="635"/>
        <w:tblOverlap w:val="never"/>
        <w:tblW w:w="76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60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0-14: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嘉宾签到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14:00-14:05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会议开始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14:05-14:20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领导致辞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14:20-15:05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主题发言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15:05-15:15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发布《电子信息行业绿色供应链最佳实践》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15:15-15:30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微软雅黑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15:30-16:30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主题</w:t>
            </w:r>
            <w:r>
              <w:rPr>
                <w:rFonts w:ascii="仿宋" w:hAnsi="仿宋" w:eastAsia="仿宋" w:cs="微软雅黑"/>
                <w:b/>
                <w:bCs/>
                <w:szCs w:val="21"/>
              </w:rPr>
              <w:t>研讨</w:t>
            </w: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：绿色供应链助推中国制造强国梦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微软雅黑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16:30-16:35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会议结束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2"/>
        </w:rPr>
        <w:t>活动流程：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057400" cy="1256030"/>
          <wp:effectExtent l="0" t="0" r="0" b="127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1256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55ED"/>
    <w:rsid w:val="3C9255ED"/>
    <w:rsid w:val="4966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2018-03-07T08:20:00Z</dcterms:created>
  <dc:creator>HGB-BZ-01</dc:creator>
  <cp:lastModifiedBy>HGB-BZ-01</cp:lastModifiedBy>
  <dcterms:modified xsi:type="dcterms:W3CDTF">2018-03-07T08:22:13Z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